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577C5" w:rsidTr="00464D18">
        <w:tc>
          <w:tcPr>
            <w:tcW w:w="9628" w:type="dxa"/>
          </w:tcPr>
          <w:p w:rsidR="006577C5" w:rsidRDefault="006577C5" w:rsidP="006577C5">
            <w:pPr>
              <w:spacing w:before="240" w:line="276" w:lineRule="auto"/>
              <w:jc w:val="both"/>
              <w:rPr>
                <w:rFonts w:ascii="Times New Roman" w:hAnsi="Times New Roman" w:cs="Times New Roman"/>
                <w:sz w:val="28"/>
              </w:rPr>
            </w:pPr>
            <w:bookmarkStart w:id="0" w:name="_GoBack"/>
            <w:r w:rsidRPr="006577C5">
              <w:rPr>
                <w:rFonts w:ascii="Times New Roman" w:hAnsi="Times New Roman" w:cs="Times New Roman"/>
                <w:sz w:val="28"/>
              </w:rPr>
              <w:t>Станом на 5 травня в рамках програми «Доступні кредити 5–7–9» банки видали с/г товаровиробникам кредитів на 19 млрд 819 млн грн. Основна частина була залучена за програмою портфельних гарантій 80 % – це 13 млрд 431 млн грн.</w:t>
            </w:r>
            <w:r w:rsidRPr="006577C5">
              <w:rPr>
                <w:rFonts w:ascii="Times New Roman" w:hAnsi="Times New Roman" w:cs="Times New Roman"/>
                <w:sz w:val="28"/>
                <w:lang w:val="ru-RU"/>
              </w:rPr>
              <w:t xml:space="preserve"> </w:t>
            </w:r>
            <w:r w:rsidRPr="006577C5">
              <w:rPr>
                <w:rFonts w:ascii="Times New Roman" w:hAnsi="Times New Roman" w:cs="Times New Roman"/>
                <w:sz w:val="28"/>
              </w:rPr>
              <w:t>Кількість с/г товаровиробників, які залучили кредити, – 7 194.</w:t>
            </w:r>
            <w:r w:rsidRPr="006577C5">
              <w:rPr>
                <w:rFonts w:ascii="Times New Roman" w:hAnsi="Times New Roman" w:cs="Times New Roman"/>
                <w:sz w:val="28"/>
                <w:lang w:val="ru-RU"/>
              </w:rPr>
              <w:t xml:space="preserve"> </w:t>
            </w:r>
            <w:r w:rsidRPr="006577C5">
              <w:rPr>
                <w:rFonts w:ascii="Times New Roman" w:hAnsi="Times New Roman" w:cs="Times New Roman"/>
                <w:sz w:val="28"/>
              </w:rPr>
              <w:t>Аграрії Дніпропетровської області залучили більше 1 млрд грн запозичень – 1,7 млрд грн.</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Аграрії можуть залучити до 60 млн грн строком на півроку. Сплата за відсотками відсутня. 20 % від суми кредиту гарантує позичальник, а решту суми – держава. У заставу можна оформити майно клієнта або поручителя, обладнання, транспортні засоби, нерухоме майно, а також основні засоби, що купуються за рахунок кредитних коштів.</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Обмежень за кількістю землі в обробці немає. Але ключова умова – підпадати під визначення с/г товаровиробника.</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 xml:space="preserve">«Сьогодні банки намагаються максимально спростити умови для аграріїв у процесі отримання такого кредитування. Мінімум бюрократії і максимум прозорих правил гри – ми просимо їх саме про такі умови для наших с/г товаровиробників. Тому чимало банків надають кредитування, висуваючи одну ключову вимогу: прибуткову діяльність хоча б за один із двох останніх звітних років для тих, хто вже давно на ринку, та наявність бізнес-плану для новостворених господарств. Щотижня витримуються доволі високі темпи з виділення кредитів – у день банки видають від півмільйона до майже мільярда гривень аграріям», – зазначив Міністр аграрної політики та продовольства України Микола </w:t>
            </w:r>
            <w:proofErr w:type="spellStart"/>
            <w:r w:rsidRPr="006577C5">
              <w:rPr>
                <w:rFonts w:ascii="Times New Roman" w:hAnsi="Times New Roman" w:cs="Times New Roman"/>
                <w:sz w:val="28"/>
              </w:rPr>
              <w:t>Сольський</w:t>
            </w:r>
            <w:proofErr w:type="spellEnd"/>
            <w:r w:rsidRPr="006577C5">
              <w:rPr>
                <w:rFonts w:ascii="Times New Roman" w:hAnsi="Times New Roman" w:cs="Times New Roman"/>
                <w:sz w:val="28"/>
              </w:rPr>
              <w:t>.</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Більше мільярда гривень уже залучили аграрії восьми областей: Кіровоградська (2 млрд 570 млн грн), Вінницька (2 млрд 175 млн грн), Київська (1 млрд 906 млн грн), Дніпропетровська (1 млрд 718 млн грн), Одеська (1 млрд 642 млн грн), Полтавська (1 млрд 426 млн грн), Волинська (1 млрд 261 млн грн), Львівська (1 млрд 67 млн грн).</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Загалом граничний обсяг державних гарантій на портфельній основі у 2022 році, з урахуванням вільних лімітів 2021 року, становить 26 млрд 953 млн грн.</w:t>
            </w:r>
          </w:p>
          <w:p w:rsid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Уряд від початку воєнного стану чотири рази вносив зміни до Порядку надання державних гарантій на портфельній основі №723 (зміни від 12.03, 27.03, 05.04 та 15.04). Була розширена й державна програма «Доступні кредити 5–7–9 %», щоб збільшити можливості для підтримки аграріїв.</w:t>
            </w:r>
          </w:p>
          <w:p w:rsidR="006577C5" w:rsidRPr="006577C5" w:rsidRDefault="006577C5" w:rsidP="006577C5">
            <w:pPr>
              <w:spacing w:line="276" w:lineRule="auto"/>
              <w:jc w:val="both"/>
              <w:rPr>
                <w:rFonts w:ascii="Times New Roman" w:hAnsi="Times New Roman" w:cs="Times New Roman"/>
                <w:sz w:val="28"/>
              </w:rPr>
            </w:pP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 xml:space="preserve">Із умовами отримання </w:t>
            </w:r>
            <w:proofErr w:type="spellStart"/>
            <w:r w:rsidRPr="006577C5">
              <w:rPr>
                <w:rFonts w:ascii="Times New Roman" w:hAnsi="Times New Roman" w:cs="Times New Roman"/>
                <w:sz w:val="28"/>
              </w:rPr>
              <w:t>агрокредитів</w:t>
            </w:r>
            <w:proofErr w:type="spellEnd"/>
            <w:r w:rsidRPr="006577C5">
              <w:rPr>
                <w:rFonts w:ascii="Times New Roman" w:hAnsi="Times New Roman" w:cs="Times New Roman"/>
                <w:sz w:val="28"/>
              </w:rPr>
              <w:t xml:space="preserve"> від державних банків ви зможете ознайомитися за посиланнями:</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 xml:space="preserve">«ПриватБанк»: </w:t>
            </w:r>
            <w:hyperlink r:id="rId4" w:history="1">
              <w:r w:rsidRPr="000808F0">
                <w:rPr>
                  <w:rStyle w:val="a3"/>
                  <w:rFonts w:ascii="Times New Roman" w:hAnsi="Times New Roman" w:cs="Times New Roman"/>
                  <w:sz w:val="28"/>
                </w:rPr>
                <w:t>https://cutt.ly/QGhlDKI</w:t>
              </w:r>
            </w:hyperlink>
            <w:r w:rsidRPr="006577C5">
              <w:rPr>
                <w:rFonts w:ascii="Times New Roman" w:hAnsi="Times New Roman" w:cs="Times New Roman"/>
                <w:sz w:val="28"/>
              </w:rPr>
              <w:t>;</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lastRenderedPageBreak/>
              <w:t xml:space="preserve">«Ощадбанк» </w:t>
            </w:r>
            <w:hyperlink r:id="rId5" w:history="1">
              <w:r w:rsidRPr="000808F0">
                <w:rPr>
                  <w:rStyle w:val="a3"/>
                  <w:rFonts w:ascii="Times New Roman" w:hAnsi="Times New Roman" w:cs="Times New Roman"/>
                  <w:sz w:val="28"/>
                </w:rPr>
                <w:t>https://cutt.ly/vF4ETcl</w:t>
              </w:r>
            </w:hyperlink>
            <w:r w:rsidRPr="006577C5">
              <w:rPr>
                <w:rFonts w:ascii="Times New Roman" w:hAnsi="Times New Roman" w:cs="Times New Roman"/>
                <w:sz w:val="28"/>
              </w:rPr>
              <w:t>;</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w:t>
            </w:r>
            <w:proofErr w:type="spellStart"/>
            <w:r w:rsidRPr="006577C5">
              <w:rPr>
                <w:rFonts w:ascii="Times New Roman" w:hAnsi="Times New Roman" w:cs="Times New Roman"/>
                <w:sz w:val="28"/>
              </w:rPr>
              <w:t>Укргазбанк</w:t>
            </w:r>
            <w:proofErr w:type="spellEnd"/>
            <w:r w:rsidRPr="006577C5">
              <w:rPr>
                <w:rFonts w:ascii="Times New Roman" w:hAnsi="Times New Roman" w:cs="Times New Roman"/>
                <w:sz w:val="28"/>
              </w:rPr>
              <w:t xml:space="preserve">» </w:t>
            </w:r>
            <w:hyperlink r:id="rId6" w:history="1">
              <w:r w:rsidRPr="000808F0">
                <w:rPr>
                  <w:rStyle w:val="a3"/>
                  <w:rFonts w:ascii="Times New Roman" w:hAnsi="Times New Roman" w:cs="Times New Roman"/>
                  <w:sz w:val="28"/>
                </w:rPr>
                <w:t>https://cutt.ly/aF4Env6</w:t>
              </w:r>
            </w:hyperlink>
            <w:r w:rsidRPr="006577C5">
              <w:rPr>
                <w:rFonts w:ascii="Times New Roman" w:hAnsi="Times New Roman" w:cs="Times New Roman"/>
                <w:sz w:val="28"/>
              </w:rPr>
              <w:t>;</w:t>
            </w:r>
          </w:p>
          <w:p w:rsid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 xml:space="preserve">«Укрексімбанк» </w:t>
            </w:r>
            <w:hyperlink r:id="rId7" w:history="1">
              <w:r w:rsidRPr="000808F0">
                <w:rPr>
                  <w:rStyle w:val="a3"/>
                  <w:rFonts w:ascii="Times New Roman" w:hAnsi="Times New Roman" w:cs="Times New Roman"/>
                  <w:sz w:val="28"/>
                </w:rPr>
                <w:t>https://cutt.ly/hGhxjd2</w:t>
              </w:r>
            </w:hyperlink>
            <w:r w:rsidRPr="006577C5">
              <w:rPr>
                <w:rFonts w:ascii="Times New Roman" w:hAnsi="Times New Roman" w:cs="Times New Roman"/>
                <w:sz w:val="28"/>
              </w:rPr>
              <w:t>.</w:t>
            </w:r>
          </w:p>
          <w:p w:rsidR="006577C5" w:rsidRPr="006577C5" w:rsidRDefault="006577C5" w:rsidP="006577C5">
            <w:pPr>
              <w:spacing w:line="276" w:lineRule="auto"/>
              <w:jc w:val="both"/>
              <w:rPr>
                <w:rFonts w:ascii="Times New Roman" w:hAnsi="Times New Roman" w:cs="Times New Roman"/>
                <w:sz w:val="28"/>
              </w:rPr>
            </w:pP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Перелік банків, які надають відповідне кредитування:</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«Ощадбанк»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КБ «ПриватБанк»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«ПУМБ»</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w:t>
            </w:r>
            <w:proofErr w:type="spellStart"/>
            <w:r w:rsidRPr="006577C5">
              <w:rPr>
                <w:rFonts w:ascii="Times New Roman" w:hAnsi="Times New Roman" w:cs="Times New Roman"/>
                <w:sz w:val="28"/>
              </w:rPr>
              <w:t>ПроКредит</w:t>
            </w:r>
            <w:proofErr w:type="spellEnd"/>
            <w:r w:rsidRPr="006577C5">
              <w:rPr>
                <w:rFonts w:ascii="Times New Roman" w:hAnsi="Times New Roman" w:cs="Times New Roman"/>
                <w:sz w:val="28"/>
              </w:rPr>
              <w:t xml:space="preserve">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 xml:space="preserve">АТ «Райффайзен Банк» </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АБ «УКРГАЗБАНК»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«Укрексімбанк»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«КРЕДОБАНК»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«МІБ»</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«КРЕДІ АГРІКОЛЬ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«ОТП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ПАТ «МТБ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«АГРОПРОСПЕРІС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«Полтава-Банк»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ПАТ «БАНК ВОСТОК»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«БАНК АЛЬЯНС»</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АКБ «Львів»</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«АСВІО 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«ТАСКОМБАНК»</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«ПІРЕУС БАНК МКБ»</w:t>
            </w:r>
          </w:p>
          <w:p w:rsidR="006577C5" w:rsidRP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«КРЕДИТВЕСТ БАНК»</w:t>
            </w:r>
          </w:p>
          <w:p w:rsidR="006577C5" w:rsidRDefault="006577C5" w:rsidP="006577C5">
            <w:pPr>
              <w:spacing w:line="276" w:lineRule="auto"/>
              <w:jc w:val="both"/>
              <w:rPr>
                <w:rFonts w:ascii="Times New Roman" w:hAnsi="Times New Roman" w:cs="Times New Roman"/>
                <w:sz w:val="28"/>
              </w:rPr>
            </w:pPr>
            <w:r w:rsidRPr="006577C5">
              <w:rPr>
                <w:rFonts w:ascii="Times New Roman" w:hAnsi="Times New Roman" w:cs="Times New Roman"/>
                <w:sz w:val="28"/>
              </w:rPr>
              <w:t>АТ «КІБ»</w:t>
            </w:r>
          </w:p>
        </w:tc>
      </w:tr>
      <w:bookmarkEnd w:id="0"/>
    </w:tbl>
    <w:p w:rsidR="006577C5" w:rsidRDefault="006577C5" w:rsidP="006577C5">
      <w:pPr>
        <w:spacing w:after="0" w:line="276" w:lineRule="auto"/>
        <w:jc w:val="both"/>
        <w:rPr>
          <w:rFonts w:ascii="Times New Roman" w:hAnsi="Times New Roman" w:cs="Times New Roman"/>
          <w:sz w:val="28"/>
        </w:rPr>
      </w:pPr>
    </w:p>
    <w:p w:rsidR="006577C5" w:rsidRDefault="006577C5">
      <w:pPr>
        <w:spacing w:line="276" w:lineRule="auto"/>
        <w:jc w:val="both"/>
        <w:rPr>
          <w:rFonts w:ascii="Times New Roman" w:hAnsi="Times New Roman" w:cs="Times New Roman"/>
          <w:sz w:val="28"/>
        </w:rPr>
      </w:pPr>
    </w:p>
    <w:sectPr w:rsidR="006577C5" w:rsidSect="000E65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7C"/>
    <w:rsid w:val="000E65BB"/>
    <w:rsid w:val="00285AC5"/>
    <w:rsid w:val="003A5295"/>
    <w:rsid w:val="00464D18"/>
    <w:rsid w:val="006577C5"/>
    <w:rsid w:val="006E0F99"/>
    <w:rsid w:val="00786D7C"/>
    <w:rsid w:val="00813FF4"/>
    <w:rsid w:val="009B0980"/>
    <w:rsid w:val="00BC5BA0"/>
    <w:rsid w:val="00C01D91"/>
    <w:rsid w:val="00C746FC"/>
    <w:rsid w:val="00CE5681"/>
    <w:rsid w:val="00CF3C8E"/>
    <w:rsid w:val="00D67F85"/>
    <w:rsid w:val="00DC76A2"/>
    <w:rsid w:val="00E317DB"/>
    <w:rsid w:val="00ED6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2035"/>
  <w15:chartTrackingRefBased/>
  <w15:docId w15:val="{F63AB8AF-F0D5-49BD-873E-AD8552C9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C7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D7C"/>
    <w:rPr>
      <w:color w:val="0000FF"/>
      <w:u w:val="single"/>
    </w:rPr>
  </w:style>
  <w:style w:type="paragraph" w:styleId="a4">
    <w:name w:val="Normal (Web)"/>
    <w:basedOn w:val="a"/>
    <w:uiPriority w:val="99"/>
    <w:semiHidden/>
    <w:unhideWhenUsed/>
    <w:rsid w:val="00786D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C76A2"/>
    <w:rPr>
      <w:rFonts w:ascii="Times New Roman" w:eastAsia="Times New Roman" w:hAnsi="Times New Roman" w:cs="Times New Roman"/>
      <w:b/>
      <w:bCs/>
      <w:kern w:val="36"/>
      <w:sz w:val="48"/>
      <w:szCs w:val="48"/>
      <w:lang w:eastAsia="uk-UA"/>
    </w:rPr>
  </w:style>
  <w:style w:type="character" w:styleId="a5">
    <w:name w:val="FollowedHyperlink"/>
    <w:basedOn w:val="a0"/>
    <w:uiPriority w:val="99"/>
    <w:semiHidden/>
    <w:unhideWhenUsed/>
    <w:rsid w:val="006577C5"/>
    <w:rPr>
      <w:color w:val="954F72" w:themeColor="followedHyperlink"/>
      <w:u w:val="single"/>
    </w:rPr>
  </w:style>
  <w:style w:type="character" w:styleId="a6">
    <w:name w:val="Unresolved Mention"/>
    <w:basedOn w:val="a0"/>
    <w:uiPriority w:val="99"/>
    <w:semiHidden/>
    <w:unhideWhenUsed/>
    <w:rsid w:val="006577C5"/>
    <w:rPr>
      <w:color w:val="605E5C"/>
      <w:shd w:val="clear" w:color="auto" w:fill="E1DFDD"/>
    </w:rPr>
  </w:style>
  <w:style w:type="table" w:styleId="a7">
    <w:name w:val="Table Grid"/>
    <w:basedOn w:val="a1"/>
    <w:uiPriority w:val="39"/>
    <w:rsid w:val="0065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3872">
      <w:bodyDiv w:val="1"/>
      <w:marLeft w:val="0"/>
      <w:marRight w:val="0"/>
      <w:marTop w:val="0"/>
      <w:marBottom w:val="0"/>
      <w:divBdr>
        <w:top w:val="none" w:sz="0" w:space="0" w:color="auto"/>
        <w:left w:val="none" w:sz="0" w:space="0" w:color="auto"/>
        <w:bottom w:val="none" w:sz="0" w:space="0" w:color="auto"/>
        <w:right w:val="none" w:sz="0" w:space="0" w:color="auto"/>
      </w:divBdr>
    </w:div>
    <w:div w:id="907498593">
      <w:bodyDiv w:val="1"/>
      <w:marLeft w:val="0"/>
      <w:marRight w:val="0"/>
      <w:marTop w:val="0"/>
      <w:marBottom w:val="0"/>
      <w:divBdr>
        <w:top w:val="none" w:sz="0" w:space="0" w:color="auto"/>
        <w:left w:val="none" w:sz="0" w:space="0" w:color="auto"/>
        <w:bottom w:val="none" w:sz="0" w:space="0" w:color="auto"/>
        <w:right w:val="none" w:sz="0" w:space="0" w:color="auto"/>
      </w:divBdr>
    </w:div>
    <w:div w:id="1034889377">
      <w:bodyDiv w:val="1"/>
      <w:marLeft w:val="0"/>
      <w:marRight w:val="0"/>
      <w:marTop w:val="0"/>
      <w:marBottom w:val="0"/>
      <w:divBdr>
        <w:top w:val="none" w:sz="0" w:space="0" w:color="auto"/>
        <w:left w:val="none" w:sz="0" w:space="0" w:color="auto"/>
        <w:bottom w:val="none" w:sz="0" w:space="0" w:color="auto"/>
        <w:right w:val="none" w:sz="0" w:space="0" w:color="auto"/>
      </w:divBdr>
    </w:div>
    <w:div w:id="1328745817">
      <w:bodyDiv w:val="1"/>
      <w:marLeft w:val="0"/>
      <w:marRight w:val="0"/>
      <w:marTop w:val="0"/>
      <w:marBottom w:val="0"/>
      <w:divBdr>
        <w:top w:val="none" w:sz="0" w:space="0" w:color="auto"/>
        <w:left w:val="none" w:sz="0" w:space="0" w:color="auto"/>
        <w:bottom w:val="none" w:sz="0" w:space="0" w:color="auto"/>
        <w:right w:val="none" w:sz="0" w:space="0" w:color="auto"/>
      </w:divBdr>
      <w:divsChild>
        <w:div w:id="1687557250">
          <w:marLeft w:val="0"/>
          <w:marRight w:val="0"/>
          <w:marTop w:val="0"/>
          <w:marBottom w:val="0"/>
          <w:divBdr>
            <w:top w:val="none" w:sz="0" w:space="0" w:color="auto"/>
            <w:left w:val="none" w:sz="0" w:space="0" w:color="auto"/>
            <w:bottom w:val="none" w:sz="0" w:space="0" w:color="auto"/>
            <w:right w:val="none" w:sz="0" w:space="0" w:color="auto"/>
          </w:divBdr>
        </w:div>
        <w:div w:id="1050810419">
          <w:marLeft w:val="0"/>
          <w:marRight w:val="0"/>
          <w:marTop w:val="0"/>
          <w:marBottom w:val="0"/>
          <w:divBdr>
            <w:top w:val="none" w:sz="0" w:space="0" w:color="auto"/>
            <w:left w:val="none" w:sz="0" w:space="0" w:color="auto"/>
            <w:bottom w:val="none" w:sz="0" w:space="0" w:color="auto"/>
            <w:right w:val="none" w:sz="0" w:space="0" w:color="auto"/>
          </w:divBdr>
        </w:div>
        <w:div w:id="2023389364">
          <w:marLeft w:val="0"/>
          <w:marRight w:val="0"/>
          <w:marTop w:val="120"/>
          <w:marBottom w:val="0"/>
          <w:divBdr>
            <w:top w:val="none" w:sz="0" w:space="0" w:color="auto"/>
            <w:left w:val="none" w:sz="0" w:space="0" w:color="auto"/>
            <w:bottom w:val="none" w:sz="0" w:space="0" w:color="auto"/>
            <w:right w:val="none" w:sz="0" w:space="0" w:color="auto"/>
          </w:divBdr>
          <w:divsChild>
            <w:div w:id="2043942279">
              <w:marLeft w:val="0"/>
              <w:marRight w:val="0"/>
              <w:marTop w:val="0"/>
              <w:marBottom w:val="0"/>
              <w:divBdr>
                <w:top w:val="none" w:sz="0" w:space="0" w:color="auto"/>
                <w:left w:val="none" w:sz="0" w:space="0" w:color="auto"/>
                <w:bottom w:val="none" w:sz="0" w:space="0" w:color="auto"/>
                <w:right w:val="none" w:sz="0" w:space="0" w:color="auto"/>
              </w:divBdr>
            </w:div>
          </w:divsChild>
        </w:div>
        <w:div w:id="680545048">
          <w:marLeft w:val="0"/>
          <w:marRight w:val="0"/>
          <w:marTop w:val="120"/>
          <w:marBottom w:val="0"/>
          <w:divBdr>
            <w:top w:val="none" w:sz="0" w:space="0" w:color="auto"/>
            <w:left w:val="none" w:sz="0" w:space="0" w:color="auto"/>
            <w:bottom w:val="none" w:sz="0" w:space="0" w:color="auto"/>
            <w:right w:val="none" w:sz="0" w:space="0" w:color="auto"/>
          </w:divBdr>
          <w:divsChild>
            <w:div w:id="837188237">
              <w:marLeft w:val="0"/>
              <w:marRight w:val="0"/>
              <w:marTop w:val="0"/>
              <w:marBottom w:val="0"/>
              <w:divBdr>
                <w:top w:val="none" w:sz="0" w:space="0" w:color="auto"/>
                <w:left w:val="none" w:sz="0" w:space="0" w:color="auto"/>
                <w:bottom w:val="none" w:sz="0" w:space="0" w:color="auto"/>
                <w:right w:val="none" w:sz="0" w:space="0" w:color="auto"/>
              </w:divBdr>
            </w:div>
          </w:divsChild>
        </w:div>
        <w:div w:id="1017390237">
          <w:marLeft w:val="0"/>
          <w:marRight w:val="0"/>
          <w:marTop w:val="120"/>
          <w:marBottom w:val="0"/>
          <w:divBdr>
            <w:top w:val="none" w:sz="0" w:space="0" w:color="auto"/>
            <w:left w:val="none" w:sz="0" w:space="0" w:color="auto"/>
            <w:bottom w:val="none" w:sz="0" w:space="0" w:color="auto"/>
            <w:right w:val="none" w:sz="0" w:space="0" w:color="auto"/>
          </w:divBdr>
          <w:divsChild>
            <w:div w:id="36899213">
              <w:marLeft w:val="0"/>
              <w:marRight w:val="0"/>
              <w:marTop w:val="0"/>
              <w:marBottom w:val="0"/>
              <w:divBdr>
                <w:top w:val="none" w:sz="0" w:space="0" w:color="auto"/>
                <w:left w:val="none" w:sz="0" w:space="0" w:color="auto"/>
                <w:bottom w:val="none" w:sz="0" w:space="0" w:color="auto"/>
                <w:right w:val="none" w:sz="0" w:space="0" w:color="auto"/>
              </w:divBdr>
            </w:div>
            <w:div w:id="1742602452">
              <w:marLeft w:val="0"/>
              <w:marRight w:val="0"/>
              <w:marTop w:val="0"/>
              <w:marBottom w:val="0"/>
              <w:divBdr>
                <w:top w:val="none" w:sz="0" w:space="0" w:color="auto"/>
                <w:left w:val="none" w:sz="0" w:space="0" w:color="auto"/>
                <w:bottom w:val="none" w:sz="0" w:space="0" w:color="auto"/>
                <w:right w:val="none" w:sz="0" w:space="0" w:color="auto"/>
              </w:divBdr>
            </w:div>
            <w:div w:id="978454648">
              <w:marLeft w:val="0"/>
              <w:marRight w:val="0"/>
              <w:marTop w:val="0"/>
              <w:marBottom w:val="0"/>
              <w:divBdr>
                <w:top w:val="none" w:sz="0" w:space="0" w:color="auto"/>
                <w:left w:val="none" w:sz="0" w:space="0" w:color="auto"/>
                <w:bottom w:val="none" w:sz="0" w:space="0" w:color="auto"/>
                <w:right w:val="none" w:sz="0" w:space="0" w:color="auto"/>
              </w:divBdr>
            </w:div>
            <w:div w:id="1714424099">
              <w:marLeft w:val="0"/>
              <w:marRight w:val="0"/>
              <w:marTop w:val="0"/>
              <w:marBottom w:val="0"/>
              <w:divBdr>
                <w:top w:val="none" w:sz="0" w:space="0" w:color="auto"/>
                <w:left w:val="none" w:sz="0" w:space="0" w:color="auto"/>
                <w:bottom w:val="none" w:sz="0" w:space="0" w:color="auto"/>
                <w:right w:val="none" w:sz="0" w:space="0" w:color="auto"/>
              </w:divBdr>
            </w:div>
            <w:div w:id="416907236">
              <w:marLeft w:val="0"/>
              <w:marRight w:val="0"/>
              <w:marTop w:val="0"/>
              <w:marBottom w:val="0"/>
              <w:divBdr>
                <w:top w:val="none" w:sz="0" w:space="0" w:color="auto"/>
                <w:left w:val="none" w:sz="0" w:space="0" w:color="auto"/>
                <w:bottom w:val="none" w:sz="0" w:space="0" w:color="auto"/>
                <w:right w:val="none" w:sz="0" w:space="0" w:color="auto"/>
              </w:divBdr>
            </w:div>
            <w:div w:id="1965960567">
              <w:marLeft w:val="0"/>
              <w:marRight w:val="0"/>
              <w:marTop w:val="0"/>
              <w:marBottom w:val="0"/>
              <w:divBdr>
                <w:top w:val="none" w:sz="0" w:space="0" w:color="auto"/>
                <w:left w:val="none" w:sz="0" w:space="0" w:color="auto"/>
                <w:bottom w:val="none" w:sz="0" w:space="0" w:color="auto"/>
                <w:right w:val="none" w:sz="0" w:space="0" w:color="auto"/>
              </w:divBdr>
            </w:div>
            <w:div w:id="1111899682">
              <w:marLeft w:val="0"/>
              <w:marRight w:val="0"/>
              <w:marTop w:val="0"/>
              <w:marBottom w:val="0"/>
              <w:divBdr>
                <w:top w:val="none" w:sz="0" w:space="0" w:color="auto"/>
                <w:left w:val="none" w:sz="0" w:space="0" w:color="auto"/>
                <w:bottom w:val="none" w:sz="0" w:space="0" w:color="auto"/>
                <w:right w:val="none" w:sz="0" w:space="0" w:color="auto"/>
              </w:divBdr>
            </w:div>
          </w:divsChild>
        </w:div>
        <w:div w:id="1953395816">
          <w:marLeft w:val="0"/>
          <w:marRight w:val="0"/>
          <w:marTop w:val="120"/>
          <w:marBottom w:val="0"/>
          <w:divBdr>
            <w:top w:val="none" w:sz="0" w:space="0" w:color="auto"/>
            <w:left w:val="none" w:sz="0" w:space="0" w:color="auto"/>
            <w:bottom w:val="none" w:sz="0" w:space="0" w:color="auto"/>
            <w:right w:val="none" w:sz="0" w:space="0" w:color="auto"/>
          </w:divBdr>
          <w:divsChild>
            <w:div w:id="665324444">
              <w:marLeft w:val="0"/>
              <w:marRight w:val="0"/>
              <w:marTop w:val="0"/>
              <w:marBottom w:val="0"/>
              <w:divBdr>
                <w:top w:val="none" w:sz="0" w:space="0" w:color="auto"/>
                <w:left w:val="none" w:sz="0" w:space="0" w:color="auto"/>
                <w:bottom w:val="none" w:sz="0" w:space="0" w:color="auto"/>
                <w:right w:val="none" w:sz="0" w:space="0" w:color="auto"/>
              </w:divBdr>
            </w:div>
          </w:divsChild>
        </w:div>
        <w:div w:id="761606406">
          <w:marLeft w:val="0"/>
          <w:marRight w:val="0"/>
          <w:marTop w:val="120"/>
          <w:marBottom w:val="0"/>
          <w:divBdr>
            <w:top w:val="none" w:sz="0" w:space="0" w:color="auto"/>
            <w:left w:val="none" w:sz="0" w:space="0" w:color="auto"/>
            <w:bottom w:val="none" w:sz="0" w:space="0" w:color="auto"/>
            <w:right w:val="none" w:sz="0" w:space="0" w:color="auto"/>
          </w:divBdr>
          <w:divsChild>
            <w:div w:id="1976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8547">
      <w:bodyDiv w:val="1"/>
      <w:marLeft w:val="0"/>
      <w:marRight w:val="0"/>
      <w:marTop w:val="0"/>
      <w:marBottom w:val="0"/>
      <w:divBdr>
        <w:top w:val="none" w:sz="0" w:space="0" w:color="auto"/>
        <w:left w:val="none" w:sz="0" w:space="0" w:color="auto"/>
        <w:bottom w:val="none" w:sz="0" w:space="0" w:color="auto"/>
        <w:right w:val="none" w:sz="0" w:space="0" w:color="auto"/>
      </w:divBdr>
    </w:div>
    <w:div w:id="1614166980">
      <w:bodyDiv w:val="1"/>
      <w:marLeft w:val="0"/>
      <w:marRight w:val="0"/>
      <w:marTop w:val="0"/>
      <w:marBottom w:val="0"/>
      <w:divBdr>
        <w:top w:val="none" w:sz="0" w:space="0" w:color="auto"/>
        <w:left w:val="none" w:sz="0" w:space="0" w:color="auto"/>
        <w:bottom w:val="none" w:sz="0" w:space="0" w:color="auto"/>
        <w:right w:val="none" w:sz="0" w:space="0" w:color="auto"/>
      </w:divBdr>
    </w:div>
    <w:div w:id="20933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tt.ly/hGhxj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ly/aF4Env6" TargetMode="External"/><Relationship Id="rId5" Type="http://schemas.openxmlformats.org/officeDocument/2006/relationships/hyperlink" Target="https://cutt.ly/vF4ETcl" TargetMode="External"/><Relationship Id="rId4" Type="http://schemas.openxmlformats.org/officeDocument/2006/relationships/hyperlink" Target="https://cutt.ly/QGhlDK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1961</Words>
  <Characters>1118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Микитьон Людмила Олександрівна</dc:creator>
  <cp:keywords/>
  <dc:description/>
  <cp:lastModifiedBy>Мельник Юрій Миколайович</cp:lastModifiedBy>
  <cp:revision>3</cp:revision>
  <cp:lastPrinted>2022-05-10T08:01:00Z</cp:lastPrinted>
  <dcterms:created xsi:type="dcterms:W3CDTF">2022-05-11T05:52:00Z</dcterms:created>
  <dcterms:modified xsi:type="dcterms:W3CDTF">2022-05-11T06:02:00Z</dcterms:modified>
</cp:coreProperties>
</file>